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BCD" w:rsidRDefault="00C11BCD" w:rsidP="008F5700">
      <w:pPr>
        <w:spacing w:before="240" w:after="0" w:line="276" w:lineRule="auto"/>
        <w:contextualSpacing/>
        <w:jc w:val="both"/>
        <w:rPr>
          <w:rFonts w:ascii="Garamond" w:hAnsi="Garamond" w:cs="Times New Roman"/>
          <w:b/>
          <w:sz w:val="28"/>
          <w:szCs w:val="28"/>
          <w:lang w:val="es-ES_tradnl"/>
        </w:rPr>
      </w:pPr>
      <w:bookmarkStart w:id="0" w:name="_GoBack"/>
      <w:bookmarkEnd w:id="0"/>
      <w:r>
        <w:rPr>
          <w:rFonts w:ascii="Garamond" w:hAnsi="Garamond" w:cs="Times New Roman"/>
          <w:b/>
          <w:sz w:val="28"/>
          <w:szCs w:val="28"/>
          <w:lang w:val="es-ES_tradnl"/>
        </w:rPr>
        <w:t xml:space="preserve">ACTA </w:t>
      </w:r>
      <w:r w:rsidRPr="00FF251F">
        <w:rPr>
          <w:rFonts w:ascii="Garamond" w:hAnsi="Garamond" w:cs="Times New Roman"/>
          <w:b/>
          <w:sz w:val="28"/>
          <w:szCs w:val="28"/>
          <w:lang w:val="es-ES_tradnl"/>
        </w:rPr>
        <w:t xml:space="preserve"> DE LIQUIDACIÓN Y FINIQUITO DEL CONVENIO INTERINSTITUCIONAL DE COOPERACIÓN TÉCNICA Y ECONOMICA ENTRE EL MINISTERIO DE AGRICULTURA Y GANADERIA Y El GOBIERNO AUTÓNOMO DESCENTRALIZADO MUNICIPAL DEL CANTÓN </w:t>
      </w:r>
      <w:r w:rsidRPr="000230EB">
        <w:rPr>
          <w:rFonts w:ascii="Garamond" w:hAnsi="Garamond" w:cs="Times New Roman"/>
          <w:b/>
          <w:caps/>
          <w:noProof/>
          <w:sz w:val="28"/>
          <w:szCs w:val="28"/>
          <w:lang w:val="es-ES_tradnl"/>
        </w:rPr>
        <w:t>Celica</w:t>
      </w:r>
      <w:r w:rsidRPr="00FF251F">
        <w:rPr>
          <w:rFonts w:ascii="Garamond" w:hAnsi="Garamond" w:cs="Times New Roman"/>
          <w:b/>
          <w:sz w:val="28"/>
          <w:szCs w:val="28"/>
          <w:lang w:val="es-ES_tradnl"/>
        </w:rPr>
        <w:t xml:space="preserve">. </w:t>
      </w:r>
    </w:p>
    <w:p w:rsidR="00C11BCD" w:rsidRDefault="00C11BCD" w:rsidP="008F5700">
      <w:pPr>
        <w:spacing w:before="240" w:after="0" w:line="276" w:lineRule="auto"/>
        <w:contextualSpacing/>
        <w:jc w:val="both"/>
        <w:rPr>
          <w:rFonts w:ascii="Garamond" w:hAnsi="Garamond" w:cs="Times New Roman"/>
          <w:b/>
          <w:sz w:val="28"/>
          <w:szCs w:val="28"/>
          <w:lang w:val="es-ES_tradnl"/>
        </w:rPr>
      </w:pPr>
    </w:p>
    <w:p w:rsidR="00C11BCD" w:rsidRDefault="00C11BCD" w:rsidP="008F5700">
      <w:pPr>
        <w:spacing w:before="240" w:after="0" w:line="276" w:lineRule="auto"/>
        <w:contextualSpacing/>
        <w:jc w:val="both"/>
        <w:rPr>
          <w:rFonts w:ascii="Garamond" w:hAnsi="Garamond" w:cs="Times New Roman"/>
          <w:b/>
          <w:i/>
        </w:rPr>
      </w:pPr>
      <w:r>
        <w:rPr>
          <w:rFonts w:ascii="Garamond" w:hAnsi="Garamond" w:cs="Times New Roman"/>
          <w:b/>
          <w:i/>
        </w:rPr>
        <w:t>CLÁUSULA PRIMERA.- COMPARECIENTES:</w:t>
      </w:r>
    </w:p>
    <w:p w:rsidR="00C11BCD" w:rsidRDefault="00C11BCD" w:rsidP="008F5700">
      <w:pPr>
        <w:spacing w:before="240" w:after="0" w:line="276" w:lineRule="auto"/>
        <w:contextualSpacing/>
        <w:jc w:val="both"/>
        <w:rPr>
          <w:rFonts w:ascii="Garamond" w:hAnsi="Garamond" w:cs="Times New Roman"/>
          <w:b/>
          <w:sz w:val="28"/>
          <w:szCs w:val="28"/>
          <w:lang w:val="es-ES_tradnl"/>
        </w:rPr>
      </w:pPr>
    </w:p>
    <w:p w:rsidR="00C11BCD" w:rsidRPr="00FF251F" w:rsidRDefault="00C11BCD" w:rsidP="008F5700">
      <w:pPr>
        <w:spacing w:line="276" w:lineRule="auto"/>
        <w:contextualSpacing/>
        <w:jc w:val="both"/>
        <w:rPr>
          <w:rFonts w:ascii="Garamond" w:hAnsi="Garamond" w:cs="Times New Roman"/>
        </w:rPr>
      </w:pPr>
      <w:r w:rsidRPr="00FF251F">
        <w:rPr>
          <w:rFonts w:ascii="Garamond" w:hAnsi="Garamond" w:cs="Times New Roman"/>
          <w:lang w:val="es-ES_tradnl"/>
        </w:rPr>
        <w:t>Comparecen a la suscripción de la presente Acta de Liquidación y Finiquito, por una parte,</w:t>
      </w:r>
      <w:r w:rsidRPr="00FF251F" w:rsidDel="00520F12">
        <w:rPr>
          <w:rFonts w:ascii="Garamond" w:hAnsi="Garamond" w:cs="Times New Roman"/>
          <w:lang w:val="es-ES_tradnl"/>
        </w:rPr>
        <w:t xml:space="preserve"> </w:t>
      </w:r>
      <w:r w:rsidRPr="00FF251F">
        <w:rPr>
          <w:rFonts w:ascii="Garamond" w:hAnsi="Garamond" w:cs="Times New Roman"/>
        </w:rPr>
        <w:t>en representación del Ministerio de Agricultura y Ganadería, la Ing. Lorena Rosas Mena, en calidad de Administrador/Liquidador de los convenios de valoración suscritos con los Gobiernos Autónomos Descentralizados Municipales conforme se desprende del memorando MAG-UEMAGAPPRAT-2021-0282-M de 1 de diciembre de 2021</w:t>
      </w:r>
      <w:r w:rsidRPr="00FF251F">
        <w:rPr>
          <w:rFonts w:ascii="Garamond" w:hAnsi="Garamond" w:cs="Times New Roman"/>
          <w:lang w:val="es-ES_tradnl"/>
        </w:rPr>
        <w:t xml:space="preserve">; </w:t>
      </w:r>
      <w:r w:rsidRPr="00FF251F">
        <w:rPr>
          <w:rFonts w:ascii="Garamond" w:hAnsi="Garamond" w:cs="Times New Roman"/>
        </w:rPr>
        <w:t xml:space="preserve">y, por otra parte, en representación del Gobierno Autónomo Descentralizado Municipal del Cantón </w:t>
      </w:r>
      <w:r w:rsidRPr="000230EB">
        <w:rPr>
          <w:rFonts w:ascii="Garamond" w:hAnsi="Garamond" w:cs="Times New Roman"/>
          <w:noProof/>
        </w:rPr>
        <w:t>Celica</w:t>
      </w:r>
      <w:r w:rsidRPr="00FF251F">
        <w:rPr>
          <w:rFonts w:ascii="Garamond" w:hAnsi="Garamond" w:cs="Times New Roman"/>
        </w:rPr>
        <w:t>, el/la Sr./</w:t>
      </w:r>
      <w:proofErr w:type="spellStart"/>
      <w:r w:rsidRPr="00FF251F">
        <w:rPr>
          <w:rFonts w:ascii="Garamond" w:hAnsi="Garamond" w:cs="Times New Roman"/>
        </w:rPr>
        <w:t>Sra</w:t>
      </w:r>
      <w:proofErr w:type="spellEnd"/>
      <w:r w:rsidRPr="00FF251F">
        <w:rPr>
          <w:rFonts w:ascii="Garamond" w:hAnsi="Garamond" w:cs="Times New Roman"/>
        </w:rPr>
        <w:t xml:space="preserve"> </w:t>
      </w:r>
      <w:r w:rsidRPr="000230EB">
        <w:rPr>
          <w:rFonts w:ascii="Garamond" w:hAnsi="Garamond" w:cs="Times New Roman"/>
          <w:noProof/>
        </w:rPr>
        <w:t>Arq. Alex Mora López</w:t>
      </w:r>
      <w:r w:rsidRPr="00FF251F">
        <w:rPr>
          <w:rFonts w:ascii="Garamond" w:hAnsi="Garamond" w:cs="Times New Roman"/>
        </w:rPr>
        <w:t>,</w:t>
      </w:r>
      <w:r w:rsidRPr="00FF251F">
        <w:rPr>
          <w:rFonts w:ascii="Garamond" w:hAnsi="Garamond" w:cs="Times New Roman"/>
          <w:lang w:val="es-ES_tradnl"/>
        </w:rPr>
        <w:t xml:space="preserve"> en calidad de delegado para la administración del </w:t>
      </w:r>
      <w:proofErr w:type="gramStart"/>
      <w:r w:rsidRPr="00FF251F">
        <w:rPr>
          <w:rFonts w:ascii="Garamond" w:hAnsi="Garamond" w:cs="Times New Roman"/>
          <w:lang w:val="es-ES_tradnl"/>
        </w:rPr>
        <w:t>convenio</w:t>
      </w:r>
      <w:proofErr w:type="gramEnd"/>
      <w:r w:rsidRPr="00FF251F">
        <w:rPr>
          <w:rFonts w:ascii="Garamond" w:hAnsi="Garamond" w:cs="Times New Roman"/>
          <w:lang w:val="es-ES_tradnl"/>
        </w:rPr>
        <w:t>, de conformidad a lo establecido en la cláusula Décima Segunda del convenio, el cual se detalla en el numeral 1.3 de la cláusula primera de la presente acta de liquidación y finiquito del convenio:</w:t>
      </w:r>
    </w:p>
    <w:p w:rsidR="00C11BCD" w:rsidRPr="00FF251F" w:rsidRDefault="00C11BCD" w:rsidP="008F5700">
      <w:pPr>
        <w:spacing w:after="0" w:line="276" w:lineRule="auto"/>
        <w:ind w:right="11"/>
        <w:jc w:val="both"/>
        <w:rPr>
          <w:rFonts w:ascii="Garamond" w:hAnsi="Garamond" w:cs="Times New Roman"/>
        </w:rPr>
      </w:pPr>
    </w:p>
    <w:p w:rsidR="00C11BCD" w:rsidRPr="00FF251F" w:rsidRDefault="00C11BCD" w:rsidP="008F5700">
      <w:pPr>
        <w:spacing w:line="276" w:lineRule="auto"/>
        <w:ind w:right="11"/>
        <w:jc w:val="both"/>
        <w:rPr>
          <w:rFonts w:ascii="Garamond" w:hAnsi="Garamond" w:cs="Times New Roman"/>
          <w:b/>
          <w:i/>
        </w:rPr>
      </w:pPr>
      <w:r w:rsidRPr="00FF251F">
        <w:rPr>
          <w:rFonts w:ascii="Garamond" w:hAnsi="Garamond" w:cs="Times New Roman"/>
          <w:b/>
          <w:i/>
        </w:rPr>
        <w:t xml:space="preserve">CLÁUSULA SEGUNDA.- MARCO LEGAL: </w:t>
      </w:r>
    </w:p>
    <w:p w:rsidR="00C11BCD" w:rsidRPr="00FF251F" w:rsidRDefault="00C11BCD" w:rsidP="008F5700">
      <w:pPr>
        <w:pStyle w:val="Sinespaciado"/>
        <w:spacing w:line="276" w:lineRule="auto"/>
        <w:jc w:val="both"/>
        <w:rPr>
          <w:rFonts w:ascii="Garamond" w:eastAsia="Times New Roman" w:hAnsi="Garamond" w:cs="Times New Roman"/>
        </w:rPr>
      </w:pPr>
      <w:r w:rsidRPr="00FF251F">
        <w:rPr>
          <w:rFonts w:ascii="Garamond" w:eastAsia="Times New Roman" w:hAnsi="Garamond" w:cs="Times New Roman"/>
          <w:b/>
        </w:rPr>
        <w:t>2.1.-</w:t>
      </w:r>
      <w:r w:rsidRPr="00FF251F">
        <w:rPr>
          <w:rFonts w:ascii="Garamond" w:eastAsia="Times New Roman" w:hAnsi="Garamond" w:cs="Times New Roman"/>
        </w:rPr>
        <w:t xml:space="preserve"> Constitución de la República del Ecuador.</w:t>
      </w:r>
    </w:p>
    <w:p w:rsidR="00C11BCD" w:rsidRPr="00FF251F" w:rsidRDefault="00C11BCD" w:rsidP="008F5700">
      <w:pPr>
        <w:pStyle w:val="Sinespaciado"/>
        <w:spacing w:line="276" w:lineRule="auto"/>
        <w:jc w:val="both"/>
        <w:rPr>
          <w:rFonts w:ascii="Garamond" w:eastAsia="Times New Roman" w:hAnsi="Garamond" w:cs="Times New Roman"/>
          <w:i/>
        </w:rPr>
      </w:pPr>
      <w:r w:rsidRPr="00FF251F">
        <w:rPr>
          <w:rFonts w:ascii="Garamond" w:eastAsia="Times New Roman" w:hAnsi="Garamond" w:cs="Times New Roman"/>
          <w:i/>
        </w:rPr>
        <w:t>Art. 226.- Las instituciones del Estado, sus organismos, dependencias, las servidoras o servidores públicos y las personas que actúen en virtud de una potestad estatal ejercerán solamente las competencias y facultades que les sean atribuidas en la Constitución y la ley. Tendrán el deber de coordinar acciones para el cumplimiento de sus fines y hacer efectivo el goce y ejercicio de los derechos reconocidos en la Constitución.</w:t>
      </w:r>
    </w:p>
    <w:p w:rsidR="00C11BCD" w:rsidRPr="00FF251F" w:rsidRDefault="00C11BCD" w:rsidP="008F5700">
      <w:pPr>
        <w:pStyle w:val="Sinespaciado"/>
        <w:spacing w:line="276" w:lineRule="auto"/>
        <w:jc w:val="both"/>
        <w:rPr>
          <w:rFonts w:ascii="Garamond" w:eastAsia="Times New Roman" w:hAnsi="Garamond" w:cs="Times New Roman"/>
          <w:i/>
        </w:rPr>
      </w:pPr>
      <w:r w:rsidRPr="00FF251F">
        <w:rPr>
          <w:rFonts w:ascii="Garamond" w:eastAsia="Times New Roman" w:hAnsi="Garamond" w:cs="Times New Roman"/>
          <w:i/>
        </w:rPr>
        <w:t>Art. 227.- La administración pública constituye un servicio a la colectividad que se rige por los principios de eficacia, eficiencia, calidad, jerarquía, desconcentración, descentralización, coordinación, participación, planificación, transparencia y evaluación.</w:t>
      </w:r>
    </w:p>
    <w:p w:rsidR="00C11BCD" w:rsidRPr="00FF251F" w:rsidRDefault="00C11BCD" w:rsidP="008F5700">
      <w:pPr>
        <w:pStyle w:val="Sinespaciado"/>
        <w:spacing w:line="276" w:lineRule="auto"/>
        <w:jc w:val="both"/>
        <w:rPr>
          <w:rFonts w:ascii="Garamond" w:eastAsia="Times New Roman" w:hAnsi="Garamond" w:cs="Times New Roman"/>
        </w:rPr>
      </w:pPr>
      <w:r w:rsidRPr="00FF251F">
        <w:rPr>
          <w:rFonts w:ascii="Garamond" w:eastAsia="Times New Roman" w:hAnsi="Garamond" w:cs="Times New Roman"/>
          <w:b/>
        </w:rPr>
        <w:t>2.3.-</w:t>
      </w:r>
      <w:r w:rsidRPr="00FF251F">
        <w:rPr>
          <w:rFonts w:ascii="Garamond" w:eastAsia="Times New Roman" w:hAnsi="Garamond" w:cs="Times New Roman"/>
        </w:rPr>
        <w:t xml:space="preserve"> Código Orgánico Administrativo.</w:t>
      </w:r>
    </w:p>
    <w:p w:rsidR="00C11BCD" w:rsidRPr="00FF251F" w:rsidRDefault="00C11BCD" w:rsidP="008F5700">
      <w:pPr>
        <w:pStyle w:val="Sinespaciado"/>
        <w:spacing w:line="276" w:lineRule="auto"/>
        <w:jc w:val="both"/>
        <w:rPr>
          <w:rFonts w:ascii="Garamond" w:eastAsia="Times New Roman" w:hAnsi="Garamond" w:cs="Times New Roman"/>
          <w:i/>
        </w:rPr>
      </w:pPr>
      <w:r w:rsidRPr="00FF251F">
        <w:rPr>
          <w:rFonts w:ascii="Garamond" w:hAnsi="Garamond"/>
          <w:sz w:val="23"/>
          <w:szCs w:val="23"/>
        </w:rPr>
        <w:t>Artículo 7.- Principio de desconcentración. La función administrativa se desarrolla bajo el criterio de distribución objetiva de funciones, privilegia la delegación de la repartición de funciones entre los órganos de una misma administración pública, para descongestionar y acercar las administraciones a las personas</w:t>
      </w:r>
    </w:p>
    <w:p w:rsidR="00C11BCD" w:rsidRPr="00FF251F" w:rsidRDefault="00C11BCD" w:rsidP="008F5700">
      <w:pPr>
        <w:pStyle w:val="Sinespaciado"/>
        <w:spacing w:line="276" w:lineRule="auto"/>
        <w:jc w:val="both"/>
        <w:rPr>
          <w:rFonts w:ascii="Garamond" w:eastAsia="Times New Roman" w:hAnsi="Garamond" w:cs="Times New Roman"/>
          <w:i/>
        </w:rPr>
      </w:pPr>
      <w:r w:rsidRPr="00FF251F">
        <w:rPr>
          <w:rFonts w:ascii="Garamond" w:eastAsia="Times New Roman" w:hAnsi="Garamond" w:cs="Times New Roman"/>
          <w:i/>
        </w:rPr>
        <w:lastRenderedPageBreak/>
        <w:t>Art. 9.- Principio de coordinación. Las administraciones públicas desarrollan sus competencias de forma racional y ordenada, evitan las duplicidades y las omisiones.</w:t>
      </w:r>
    </w:p>
    <w:p w:rsidR="00C11BCD" w:rsidRPr="00FF251F" w:rsidRDefault="00C11BCD" w:rsidP="008F5700">
      <w:pPr>
        <w:pStyle w:val="Sinespaciado"/>
        <w:spacing w:line="276" w:lineRule="auto"/>
        <w:jc w:val="both"/>
        <w:rPr>
          <w:rFonts w:ascii="Garamond" w:eastAsia="Times New Roman" w:hAnsi="Garamond" w:cs="Times New Roman"/>
          <w:i/>
        </w:rPr>
      </w:pPr>
      <w:r w:rsidRPr="00FF251F">
        <w:rPr>
          <w:rFonts w:ascii="Garamond" w:eastAsia="Times New Roman" w:hAnsi="Garamond" w:cs="Times New Roman"/>
          <w:i/>
        </w:rPr>
        <w:t>Art. 11.- Principio de planificación. Las actuaciones administrativas se llevan a cabo sobre la base de la definición de objetivos, ordenación de recursos, determinación de métodos y mecanismos de organización.</w:t>
      </w:r>
    </w:p>
    <w:p w:rsidR="00C11BCD" w:rsidRPr="00FF251F" w:rsidRDefault="00C11BCD" w:rsidP="008F5700">
      <w:pPr>
        <w:pStyle w:val="Sinespaciado"/>
        <w:spacing w:line="276" w:lineRule="auto"/>
        <w:jc w:val="both"/>
        <w:rPr>
          <w:rFonts w:ascii="Garamond" w:eastAsia="Times New Roman" w:hAnsi="Garamond" w:cs="Times New Roman"/>
          <w:i/>
        </w:rPr>
      </w:pPr>
      <w:r w:rsidRPr="00FF251F">
        <w:rPr>
          <w:rFonts w:ascii="Garamond" w:eastAsia="Times New Roman" w:hAnsi="Garamond" w:cs="Times New Roman"/>
          <w:i/>
        </w:rPr>
        <w:t>Art. 17.- Principio de buena fe. Se presume que los servidores públicos y las personas mantienen un comportamiento legal y adecuado en el ejercicio de sus competencias, derechos y deberes.</w:t>
      </w:r>
    </w:p>
    <w:p w:rsidR="00C11BCD" w:rsidRPr="00FF251F" w:rsidRDefault="00C11BCD" w:rsidP="008F5700">
      <w:pPr>
        <w:pStyle w:val="Sinespaciado"/>
        <w:spacing w:line="276" w:lineRule="auto"/>
        <w:jc w:val="both"/>
        <w:rPr>
          <w:rFonts w:ascii="Garamond" w:eastAsia="Times New Roman" w:hAnsi="Garamond" w:cs="Times New Roman"/>
          <w:i/>
        </w:rPr>
      </w:pPr>
      <w:r w:rsidRPr="00FF251F">
        <w:rPr>
          <w:rFonts w:ascii="Garamond" w:eastAsia="Times New Roman" w:hAnsi="Garamond" w:cs="Times New Roman"/>
          <w:i/>
        </w:rPr>
        <w:t>Art. 28.- Principio de colaboración. Las administraciones trabajarán de manera coordinada, complementaria y prestándose auxilio mutuo. Acordarán mecanismos de coordinación para la gestión de sus competencias y el uso eficiente de los recursos</w:t>
      </w:r>
      <w:r w:rsidRPr="00FF251F">
        <w:rPr>
          <w:rStyle w:val="Refdecomentario"/>
          <w:rFonts w:ascii="Garamond" w:hAnsi="Garamond"/>
        </w:rPr>
        <w:t>.</w:t>
      </w:r>
    </w:p>
    <w:p w:rsidR="00C11BCD" w:rsidRPr="00FF251F" w:rsidRDefault="00C11BCD" w:rsidP="008F5700">
      <w:pPr>
        <w:pStyle w:val="Sinespaciado"/>
        <w:spacing w:line="276" w:lineRule="auto"/>
        <w:ind w:left="567" w:hanging="567"/>
        <w:jc w:val="both"/>
        <w:rPr>
          <w:rFonts w:ascii="Garamond" w:eastAsia="Times New Roman" w:hAnsi="Garamond" w:cs="Times New Roman"/>
          <w:i/>
        </w:rPr>
      </w:pPr>
      <w:r w:rsidRPr="00FF251F">
        <w:rPr>
          <w:rFonts w:ascii="Garamond" w:eastAsia="Times New Roman" w:hAnsi="Garamond" w:cs="Times New Roman"/>
          <w:b/>
        </w:rPr>
        <w:t>2.2.-</w:t>
      </w:r>
      <w:r w:rsidRPr="00FF251F">
        <w:rPr>
          <w:rFonts w:ascii="Garamond" w:eastAsia="Times New Roman" w:hAnsi="Garamond" w:cs="Times New Roman"/>
        </w:rPr>
        <w:t xml:space="preserve"> Estatuto del Régimen Jurídico y Administrativo de la Función Ejecutiva.</w:t>
      </w:r>
    </w:p>
    <w:p w:rsidR="00C11BCD" w:rsidRPr="00FF251F" w:rsidRDefault="00C11BCD" w:rsidP="008F5700">
      <w:pPr>
        <w:pStyle w:val="Sinespaciado"/>
        <w:spacing w:line="276" w:lineRule="auto"/>
        <w:ind w:left="567" w:hanging="567"/>
        <w:jc w:val="both"/>
        <w:rPr>
          <w:rFonts w:ascii="Garamond" w:eastAsia="Times New Roman" w:hAnsi="Garamond" w:cs="Times New Roman"/>
          <w:i/>
        </w:rPr>
      </w:pPr>
      <w:r w:rsidRPr="00FF251F">
        <w:rPr>
          <w:rFonts w:ascii="Garamond" w:eastAsia="Times New Roman" w:hAnsi="Garamond" w:cs="Times New Roman"/>
          <w:i/>
        </w:rPr>
        <w:t xml:space="preserve">Art. 155.- Terminación convencional. </w:t>
      </w:r>
    </w:p>
    <w:p w:rsidR="00C11BCD" w:rsidRPr="00FF251F" w:rsidRDefault="00C11BCD" w:rsidP="008F5700">
      <w:pPr>
        <w:pStyle w:val="Sinespaciado"/>
        <w:numPr>
          <w:ilvl w:val="0"/>
          <w:numId w:val="2"/>
        </w:numPr>
        <w:spacing w:after="0" w:line="276" w:lineRule="auto"/>
        <w:jc w:val="both"/>
        <w:rPr>
          <w:rFonts w:ascii="Garamond" w:eastAsia="Times New Roman" w:hAnsi="Garamond" w:cs="Times New Roman"/>
          <w:i/>
        </w:rPr>
      </w:pPr>
      <w:r w:rsidRPr="00FF251F">
        <w:rPr>
          <w:rFonts w:ascii="Garamond" w:eastAsia="Times New Roman" w:hAnsi="Garamond" w:cs="Times New Roman"/>
          <w:i/>
        </w:rPr>
        <w:t>La Administración Pública está facultada, de conformidad con lo dispuesto en la Ley Orgánica de la Procuraduría General del Estado, a celebrar acuerdos, pactos, convenios o contratos con personas tanto de derecho público como privado, siempre que no sean contrarios al ordenamiento jurídico ni versen sobre materias no susceptibles de transacción y tengan por objeto satisfacer el interés público que tienen encomendado, con el alcance, efectos y régimen jurídico específico que en cada caso prevea la disposición que lo regule, pudiendo tales actos tener la consideración de finalizadores de los procedimientos administrativos o insertarse en los mismos con carácter previo, vinculante o no, a la resolución que les ponga fin.</w:t>
      </w:r>
    </w:p>
    <w:p w:rsidR="00C11BCD" w:rsidRPr="00FF251F" w:rsidRDefault="00C11BCD" w:rsidP="008F5700">
      <w:pPr>
        <w:pStyle w:val="Sinespaciado"/>
        <w:spacing w:line="276" w:lineRule="auto"/>
        <w:jc w:val="both"/>
        <w:rPr>
          <w:rFonts w:ascii="Garamond" w:eastAsia="Times New Roman" w:hAnsi="Garamond" w:cs="Times New Roman"/>
          <w:i/>
        </w:rPr>
      </w:pPr>
    </w:p>
    <w:p w:rsidR="00C11BCD" w:rsidRDefault="00C11BCD" w:rsidP="008F5700">
      <w:pPr>
        <w:pStyle w:val="Sinespaciado"/>
        <w:spacing w:line="276" w:lineRule="auto"/>
        <w:rPr>
          <w:rFonts w:ascii="Garamond" w:eastAsia="Times New Roman" w:hAnsi="Garamond" w:cs="Times New Roman"/>
          <w:b/>
        </w:rPr>
      </w:pPr>
      <w:r w:rsidRPr="00FF251F">
        <w:rPr>
          <w:rFonts w:ascii="Garamond" w:eastAsia="Times New Roman" w:hAnsi="Garamond" w:cs="Times New Roman"/>
          <w:b/>
        </w:rPr>
        <w:t>2.4.- CONVENIO</w:t>
      </w:r>
    </w:p>
    <w:p w:rsidR="00C11BCD" w:rsidRDefault="00C11BCD" w:rsidP="008F5700">
      <w:pPr>
        <w:pStyle w:val="Sinespaciado"/>
        <w:spacing w:line="276" w:lineRule="auto"/>
        <w:jc w:val="both"/>
        <w:rPr>
          <w:rFonts w:ascii="Garamond" w:hAnsi="Garamond" w:cs="Times New Roman"/>
        </w:rPr>
      </w:pPr>
      <w:r>
        <w:rPr>
          <w:rFonts w:ascii="Garamond" w:hAnsi="Garamond" w:cs="Times New Roman"/>
        </w:rPr>
        <w:t>Literal f) de</w:t>
      </w:r>
      <w:r w:rsidRPr="00FF251F">
        <w:rPr>
          <w:rFonts w:ascii="Garamond" w:hAnsi="Garamond" w:cs="Times New Roman"/>
        </w:rPr>
        <w:t xml:space="preserve"> la cláusula</w:t>
      </w:r>
      <w:r>
        <w:rPr>
          <w:rFonts w:ascii="Garamond" w:hAnsi="Garamond" w:cs="Times New Roman"/>
        </w:rPr>
        <w:t xml:space="preserve"> décima segunda, referente a </w:t>
      </w:r>
      <w:r w:rsidRPr="00FF251F">
        <w:rPr>
          <w:rFonts w:ascii="Garamond" w:hAnsi="Garamond" w:cs="Times New Roman"/>
        </w:rPr>
        <w:t>la</w:t>
      </w:r>
      <w:r>
        <w:rPr>
          <w:rFonts w:ascii="Garamond" w:hAnsi="Garamond" w:cs="Times New Roman"/>
        </w:rPr>
        <w:t xml:space="preserve">s </w:t>
      </w:r>
      <w:r w:rsidRPr="00641387">
        <w:rPr>
          <w:rFonts w:ascii="Garamond" w:hAnsi="Garamond" w:cs="Times New Roman"/>
        </w:rPr>
        <w:t>responsab</w:t>
      </w:r>
      <w:r>
        <w:rPr>
          <w:rFonts w:ascii="Garamond" w:hAnsi="Garamond" w:cs="Times New Roman"/>
        </w:rPr>
        <w:t>ilidades</w:t>
      </w:r>
      <w:r w:rsidRPr="00641387">
        <w:rPr>
          <w:rFonts w:ascii="Garamond" w:hAnsi="Garamond" w:cs="Times New Roman"/>
        </w:rPr>
        <w:t xml:space="preserve"> del control, administración y supervisión</w:t>
      </w:r>
      <w:r>
        <w:rPr>
          <w:rFonts w:ascii="Garamond" w:hAnsi="Garamond" w:cs="Times New Roman"/>
        </w:rPr>
        <w:t>.</w:t>
      </w:r>
    </w:p>
    <w:p w:rsidR="00C11BCD" w:rsidRPr="00641387" w:rsidRDefault="00C11BCD" w:rsidP="008F5700">
      <w:pPr>
        <w:pStyle w:val="Default"/>
        <w:rPr>
          <w:rFonts w:ascii="Garamond" w:hAnsi="Garamond" w:cs="Times New Roman"/>
          <w:i/>
          <w:color w:val="auto"/>
          <w:sz w:val="22"/>
          <w:szCs w:val="22"/>
        </w:rPr>
      </w:pPr>
    </w:p>
    <w:p w:rsidR="00C11BCD" w:rsidRPr="00641387" w:rsidRDefault="00C11BCD" w:rsidP="00962BA3">
      <w:pPr>
        <w:pStyle w:val="Default"/>
        <w:jc w:val="both"/>
        <w:rPr>
          <w:rFonts w:ascii="Garamond" w:hAnsi="Garamond" w:cs="Times New Roman"/>
          <w:i/>
          <w:color w:val="auto"/>
          <w:sz w:val="22"/>
          <w:szCs w:val="22"/>
        </w:rPr>
      </w:pPr>
      <w:r w:rsidRPr="00641387">
        <w:rPr>
          <w:rFonts w:ascii="Garamond" w:hAnsi="Garamond" w:cs="Times New Roman"/>
          <w:i/>
          <w:color w:val="auto"/>
          <w:sz w:val="22"/>
          <w:szCs w:val="22"/>
        </w:rPr>
        <w:t xml:space="preserve">f) Presentarán informes de avance y cumplimiento de las obligaciones suscritas ante sus respectivas autoridades, así como </w:t>
      </w:r>
      <w:r w:rsidRPr="00641387">
        <w:rPr>
          <w:rFonts w:ascii="Garamond" w:hAnsi="Garamond" w:cs="Times New Roman"/>
          <w:i/>
          <w:color w:val="auto"/>
          <w:sz w:val="22"/>
          <w:szCs w:val="22"/>
          <w:u w:val="single"/>
        </w:rPr>
        <w:t>el informe final sobre las actividades y procesos realizados para el correcto cumplimiento del presente instrumento.</w:t>
      </w:r>
      <w:r w:rsidRPr="00641387">
        <w:rPr>
          <w:rFonts w:ascii="Garamond" w:hAnsi="Garamond" w:cs="Times New Roman"/>
          <w:i/>
          <w:color w:val="auto"/>
          <w:sz w:val="22"/>
          <w:szCs w:val="22"/>
        </w:rPr>
        <w:t xml:space="preserve"> </w:t>
      </w:r>
    </w:p>
    <w:p w:rsidR="00C11BCD" w:rsidRDefault="00C11BCD" w:rsidP="008F5700">
      <w:pPr>
        <w:spacing w:line="276" w:lineRule="auto"/>
        <w:jc w:val="both"/>
        <w:rPr>
          <w:rFonts w:ascii="Garamond" w:hAnsi="Garamond" w:cs="Times New Roman"/>
        </w:rPr>
      </w:pPr>
    </w:p>
    <w:p w:rsidR="00C11BCD" w:rsidRDefault="00C11BCD" w:rsidP="008F5700">
      <w:pPr>
        <w:spacing w:line="276" w:lineRule="auto"/>
        <w:jc w:val="both"/>
        <w:rPr>
          <w:rFonts w:ascii="Garamond" w:hAnsi="Garamond" w:cs="Times New Roman"/>
        </w:rPr>
      </w:pPr>
      <w:r>
        <w:rPr>
          <w:rFonts w:ascii="Garamond" w:hAnsi="Garamond" w:cs="Times New Roman"/>
        </w:rPr>
        <w:t xml:space="preserve">Literal ii) de la </w:t>
      </w:r>
      <w:r w:rsidRPr="00FF251F">
        <w:rPr>
          <w:rFonts w:ascii="Garamond" w:hAnsi="Garamond" w:cs="Times New Roman"/>
        </w:rPr>
        <w:t>cláusula octava</w:t>
      </w:r>
      <w:r>
        <w:rPr>
          <w:rFonts w:ascii="Garamond" w:hAnsi="Garamond" w:cs="Times New Roman"/>
        </w:rPr>
        <w:t>, referente a</w:t>
      </w:r>
      <w:r w:rsidRPr="00FF251F">
        <w:rPr>
          <w:rFonts w:ascii="Garamond" w:hAnsi="Garamond" w:cs="Times New Roman"/>
        </w:rPr>
        <w:t xml:space="preserve"> la TERMINACIÓN Y SUSPENSIÓN DEL CONVENIO, este terminará por los siguientes casos:</w:t>
      </w:r>
    </w:p>
    <w:p w:rsidR="00C11BCD" w:rsidRDefault="00C11BCD" w:rsidP="008F5700">
      <w:pPr>
        <w:spacing w:line="276" w:lineRule="auto"/>
        <w:jc w:val="both"/>
        <w:rPr>
          <w:rFonts w:ascii="Garamond" w:hAnsi="Garamond" w:cs="Times New Roman"/>
          <w:i/>
        </w:rPr>
      </w:pPr>
      <w:r>
        <w:rPr>
          <w:rFonts w:ascii="Garamond" w:hAnsi="Garamond" w:cs="Times New Roman"/>
        </w:rPr>
        <w:t xml:space="preserve">ii) </w:t>
      </w:r>
      <w:r w:rsidRPr="00FF251F">
        <w:rPr>
          <w:rFonts w:ascii="Garamond" w:hAnsi="Garamond" w:cs="Times New Roman"/>
          <w:i/>
        </w:rPr>
        <w:t xml:space="preserve">Por haber </w:t>
      </w:r>
      <w:r w:rsidRPr="00641387">
        <w:rPr>
          <w:rFonts w:ascii="Garamond" w:hAnsi="Garamond" w:cs="Times New Roman"/>
          <w:i/>
          <w:u w:val="single"/>
        </w:rPr>
        <w:t>cumplido el objeto el cual fue suscrito, en cualquier tiempo durante la vigencia del mismo, de lo cual, se dejará sentada en un Acta de Liquidación del Convenio.</w:t>
      </w:r>
      <w:r w:rsidRPr="00FF251F">
        <w:rPr>
          <w:rFonts w:ascii="Garamond" w:hAnsi="Garamond" w:cs="Times New Roman"/>
          <w:i/>
        </w:rPr>
        <w:t xml:space="preserve"> </w:t>
      </w:r>
    </w:p>
    <w:p w:rsidR="00C11BCD" w:rsidRPr="00FF251F" w:rsidRDefault="00C11BCD" w:rsidP="008F5700">
      <w:pPr>
        <w:spacing w:after="0" w:line="276" w:lineRule="auto"/>
        <w:rPr>
          <w:rFonts w:ascii="Garamond" w:hAnsi="Garamond" w:cs="Times New Roman"/>
          <w:b/>
        </w:rPr>
      </w:pPr>
    </w:p>
    <w:p w:rsidR="00C11BCD" w:rsidRDefault="00C11BCD" w:rsidP="008F5700">
      <w:pPr>
        <w:spacing w:after="0" w:line="276" w:lineRule="auto"/>
        <w:rPr>
          <w:rFonts w:ascii="Garamond" w:hAnsi="Garamond" w:cs="Times New Roman"/>
          <w:b/>
          <w:i/>
          <w:lang w:val="es-ES_tradnl"/>
        </w:rPr>
      </w:pPr>
      <w:r w:rsidRPr="00FF251F">
        <w:rPr>
          <w:rFonts w:ascii="Garamond" w:hAnsi="Garamond" w:cs="Times New Roman"/>
          <w:b/>
          <w:i/>
        </w:rPr>
        <w:t xml:space="preserve">CLÁUSULA TERCERA. - </w:t>
      </w:r>
      <w:r w:rsidRPr="00FF251F">
        <w:rPr>
          <w:rFonts w:ascii="Garamond" w:hAnsi="Garamond" w:cs="Times New Roman"/>
          <w:b/>
          <w:i/>
          <w:lang w:val="es-ES_tradnl"/>
        </w:rPr>
        <w:t xml:space="preserve">OBJETO: </w:t>
      </w:r>
    </w:p>
    <w:p w:rsidR="00C11BCD" w:rsidRPr="00FF251F" w:rsidRDefault="00C11BCD" w:rsidP="008F5700">
      <w:pPr>
        <w:spacing w:after="0" w:line="276" w:lineRule="auto"/>
        <w:rPr>
          <w:rFonts w:ascii="Garamond" w:hAnsi="Garamond" w:cs="Times New Roman"/>
          <w:b/>
          <w:i/>
          <w:lang w:val="es-ES_tradnl"/>
        </w:rPr>
      </w:pPr>
    </w:p>
    <w:p w:rsidR="00C11BCD" w:rsidRDefault="00C11BCD" w:rsidP="008F5700">
      <w:pPr>
        <w:spacing w:before="240" w:after="0" w:line="276" w:lineRule="auto"/>
        <w:contextualSpacing/>
        <w:jc w:val="both"/>
        <w:rPr>
          <w:rFonts w:ascii="Garamond" w:hAnsi="Garamond" w:cs="Times New Roman"/>
          <w:lang w:val="es-ES_tradnl"/>
        </w:rPr>
      </w:pPr>
      <w:r>
        <w:rPr>
          <w:rFonts w:ascii="Garamond" w:hAnsi="Garamond" w:cs="Times New Roman"/>
          <w:lang w:val="es-ES_tradnl"/>
        </w:rPr>
        <w:t xml:space="preserve"> El objeto de la presente acta de liquidación, es de dar por concluidas las obligaciones de las instituciones intervinientes, debido a que se ha cumplido con el objeto del convenio y no existen obligaciones pendientes </w:t>
      </w:r>
    </w:p>
    <w:p w:rsidR="00C11BCD" w:rsidRDefault="00C11BCD" w:rsidP="008F5700">
      <w:pPr>
        <w:spacing w:before="240" w:after="0" w:line="276" w:lineRule="auto"/>
        <w:contextualSpacing/>
        <w:jc w:val="both"/>
        <w:rPr>
          <w:rFonts w:ascii="Garamond" w:hAnsi="Garamond" w:cs="Times New Roman"/>
          <w:lang w:val="es-ES_tradnl"/>
        </w:rPr>
      </w:pPr>
    </w:p>
    <w:p w:rsidR="00C11BCD" w:rsidRPr="00FF251F" w:rsidRDefault="00C11BCD" w:rsidP="008F5700">
      <w:pPr>
        <w:spacing w:after="0" w:line="276" w:lineRule="auto"/>
        <w:rPr>
          <w:rFonts w:ascii="Garamond" w:hAnsi="Garamond" w:cs="Times New Roman"/>
          <w:b/>
        </w:rPr>
      </w:pPr>
    </w:p>
    <w:p w:rsidR="00C11BCD" w:rsidRPr="008F5700" w:rsidRDefault="00C11BCD" w:rsidP="008F5700">
      <w:pPr>
        <w:spacing w:before="240" w:after="0" w:line="276" w:lineRule="auto"/>
        <w:contextualSpacing/>
        <w:jc w:val="both"/>
        <w:rPr>
          <w:rFonts w:ascii="Garamond" w:hAnsi="Garamond" w:cs="Times New Roman"/>
          <w:b/>
        </w:rPr>
      </w:pPr>
      <w:r w:rsidRPr="008F5700">
        <w:rPr>
          <w:rFonts w:ascii="Garamond" w:hAnsi="Garamond" w:cs="Times New Roman"/>
          <w:b/>
        </w:rPr>
        <w:t>CLÁUSULA CUARTA.- INFORMES FINALES DE GESTIÓN</w:t>
      </w:r>
    </w:p>
    <w:p w:rsidR="00C11BCD" w:rsidRDefault="00C11BCD" w:rsidP="008F5700">
      <w:pPr>
        <w:spacing w:before="240" w:after="0" w:line="276" w:lineRule="auto"/>
        <w:contextualSpacing/>
        <w:jc w:val="both"/>
        <w:rPr>
          <w:rFonts w:ascii="Garamond" w:hAnsi="Garamond" w:cs="Times New Roman"/>
          <w:b/>
          <w:i/>
        </w:rPr>
      </w:pPr>
    </w:p>
    <w:p w:rsidR="00C11BCD" w:rsidRPr="00B0437B" w:rsidRDefault="00C11BCD" w:rsidP="008F5700">
      <w:pPr>
        <w:spacing w:before="240" w:after="0" w:line="276" w:lineRule="auto"/>
        <w:contextualSpacing/>
        <w:jc w:val="both"/>
        <w:rPr>
          <w:rFonts w:ascii="Garamond" w:hAnsi="Garamond" w:cs="Times New Roman"/>
        </w:rPr>
      </w:pPr>
      <w:proofErr w:type="gramStart"/>
      <w:r w:rsidRPr="00B0437B">
        <w:rPr>
          <w:rFonts w:ascii="Garamond" w:hAnsi="Garamond" w:cs="Times New Roman"/>
        </w:rPr>
        <w:t>El</w:t>
      </w:r>
      <w:proofErr w:type="gramEnd"/>
      <w:r w:rsidRPr="00B0437B">
        <w:rPr>
          <w:rFonts w:ascii="Garamond" w:hAnsi="Garamond" w:cs="Times New Roman"/>
        </w:rPr>
        <w:t xml:space="preserve"> </w:t>
      </w:r>
      <w:r w:rsidRPr="000230EB">
        <w:rPr>
          <w:rFonts w:ascii="Garamond" w:hAnsi="Garamond" w:cs="Times New Roman"/>
          <w:noProof/>
        </w:rPr>
        <w:t>28 días del mes de marzo de 2022</w:t>
      </w:r>
      <w:r w:rsidRPr="00B0437B">
        <w:rPr>
          <w:rFonts w:ascii="Garamond" w:hAnsi="Garamond" w:cs="Times New Roman"/>
        </w:rPr>
        <w:t xml:space="preserve">, la Ing. </w:t>
      </w:r>
      <w:r>
        <w:rPr>
          <w:rFonts w:ascii="Garamond" w:hAnsi="Garamond" w:cs="Times New Roman"/>
        </w:rPr>
        <w:t>Lorena Rosas Mena</w:t>
      </w:r>
      <w:r w:rsidRPr="00B0437B">
        <w:rPr>
          <w:rFonts w:ascii="Garamond" w:hAnsi="Garamond" w:cs="Times New Roman"/>
        </w:rPr>
        <w:t>,</w:t>
      </w:r>
      <w:r>
        <w:rPr>
          <w:rFonts w:ascii="Garamond" w:hAnsi="Garamond" w:cs="Times New Roman"/>
        </w:rPr>
        <w:t xml:space="preserve"> </w:t>
      </w:r>
      <w:r w:rsidRPr="00B0437B">
        <w:rPr>
          <w:rFonts w:ascii="Garamond" w:hAnsi="Garamond" w:cs="Times New Roman"/>
        </w:rPr>
        <w:t>en representación del Ministerio de Agricultura y Ganadería, presenta su informe final de gestión, donde se determina que se ha cumplido el objeto del convenio y no existen obligaciones pendientes.</w:t>
      </w:r>
    </w:p>
    <w:p w:rsidR="00C11BCD" w:rsidRPr="00B0437B" w:rsidRDefault="00C11BCD" w:rsidP="008F5700">
      <w:pPr>
        <w:spacing w:before="240" w:after="0" w:line="276" w:lineRule="auto"/>
        <w:contextualSpacing/>
        <w:jc w:val="both"/>
        <w:rPr>
          <w:rFonts w:ascii="Garamond" w:hAnsi="Garamond" w:cs="Times New Roman"/>
        </w:rPr>
      </w:pPr>
    </w:p>
    <w:p w:rsidR="00C11BCD" w:rsidRPr="00B0437B" w:rsidRDefault="00C11BCD" w:rsidP="008F5700">
      <w:pPr>
        <w:spacing w:before="240" w:after="0" w:line="276" w:lineRule="auto"/>
        <w:contextualSpacing/>
        <w:jc w:val="both"/>
        <w:rPr>
          <w:rFonts w:ascii="Garamond" w:hAnsi="Garamond" w:cs="Times New Roman"/>
        </w:rPr>
      </w:pPr>
      <w:r w:rsidRPr="00B0437B">
        <w:rPr>
          <w:rFonts w:ascii="Garamond" w:hAnsi="Garamond" w:cs="Times New Roman"/>
        </w:rPr>
        <w:t xml:space="preserve">El </w:t>
      </w:r>
      <w:r>
        <w:rPr>
          <w:rFonts w:ascii="Garamond" w:hAnsi="Garamond" w:cs="Times New Roman"/>
        </w:rPr>
        <w:t>xx</w:t>
      </w:r>
      <w:r w:rsidRPr="00B0437B">
        <w:rPr>
          <w:rFonts w:ascii="Garamond" w:hAnsi="Garamond" w:cs="Times New Roman"/>
        </w:rPr>
        <w:t xml:space="preserve"> de </w:t>
      </w:r>
      <w:proofErr w:type="spellStart"/>
      <w:r>
        <w:rPr>
          <w:rFonts w:ascii="Garamond" w:hAnsi="Garamond" w:cs="Times New Roman"/>
        </w:rPr>
        <w:t>xxxxx</w:t>
      </w:r>
      <w:proofErr w:type="spellEnd"/>
      <w:r w:rsidRPr="00B0437B">
        <w:rPr>
          <w:rFonts w:ascii="Garamond" w:hAnsi="Garamond" w:cs="Times New Roman"/>
        </w:rPr>
        <w:t xml:space="preserve"> de 202</w:t>
      </w:r>
      <w:r>
        <w:rPr>
          <w:rFonts w:ascii="Garamond" w:hAnsi="Garamond" w:cs="Times New Roman"/>
        </w:rPr>
        <w:t>2</w:t>
      </w:r>
      <w:r w:rsidRPr="00B0437B">
        <w:rPr>
          <w:rFonts w:ascii="Garamond" w:hAnsi="Garamond" w:cs="Times New Roman"/>
        </w:rPr>
        <w:t xml:space="preserve">, </w:t>
      </w:r>
      <w:r>
        <w:rPr>
          <w:rFonts w:ascii="Garamond" w:hAnsi="Garamond" w:cs="Times New Roman"/>
        </w:rPr>
        <w:t xml:space="preserve">el/la </w:t>
      </w:r>
      <w:r w:rsidRPr="000230EB">
        <w:rPr>
          <w:rFonts w:ascii="Garamond" w:hAnsi="Garamond" w:cs="Times New Roman"/>
          <w:noProof/>
        </w:rPr>
        <w:t>Arq. Alex Mora López</w:t>
      </w:r>
      <w:r w:rsidRPr="00B0437B">
        <w:rPr>
          <w:rFonts w:ascii="Garamond" w:hAnsi="Garamond" w:cs="Times New Roman"/>
        </w:rPr>
        <w:t>,</w:t>
      </w:r>
      <w:r>
        <w:rPr>
          <w:rFonts w:ascii="Garamond" w:hAnsi="Garamond" w:cs="Times New Roman"/>
        </w:rPr>
        <w:t xml:space="preserve"> </w:t>
      </w:r>
      <w:r w:rsidRPr="00B0437B">
        <w:rPr>
          <w:rFonts w:ascii="Garamond" w:hAnsi="Garamond" w:cs="Times New Roman"/>
        </w:rPr>
        <w:t>en representación del GAD</w:t>
      </w:r>
      <w:r>
        <w:rPr>
          <w:rFonts w:ascii="Garamond" w:hAnsi="Garamond" w:cs="Times New Roman"/>
        </w:rPr>
        <w:t xml:space="preserve">M de </w:t>
      </w:r>
      <w:r w:rsidRPr="000230EB">
        <w:rPr>
          <w:rFonts w:ascii="Garamond" w:hAnsi="Garamond" w:cs="Times New Roman"/>
          <w:noProof/>
        </w:rPr>
        <w:t>Celica</w:t>
      </w:r>
      <w:r w:rsidRPr="00B0437B">
        <w:rPr>
          <w:rFonts w:ascii="Garamond" w:hAnsi="Garamond" w:cs="Times New Roman"/>
        </w:rPr>
        <w:t>, presenta su informe final de gestión, donde se determina que se ha cumplido el objeto del convenio y no existen obligaciones pendientes</w:t>
      </w:r>
    </w:p>
    <w:p w:rsidR="00C11BCD" w:rsidRDefault="00C11BCD" w:rsidP="008F5700">
      <w:pPr>
        <w:spacing w:before="240" w:after="0" w:line="276" w:lineRule="auto"/>
        <w:contextualSpacing/>
        <w:jc w:val="both"/>
        <w:rPr>
          <w:rFonts w:ascii="Garamond" w:hAnsi="Garamond" w:cs="Times New Roman"/>
          <w:b/>
        </w:rPr>
      </w:pPr>
    </w:p>
    <w:p w:rsidR="00C11BCD" w:rsidRPr="00FF251F" w:rsidRDefault="00C11BCD" w:rsidP="008F5700">
      <w:pPr>
        <w:spacing w:after="0" w:line="276" w:lineRule="auto"/>
        <w:rPr>
          <w:rFonts w:ascii="Garamond" w:hAnsi="Garamond" w:cs="Times New Roman"/>
          <w:b/>
        </w:rPr>
      </w:pPr>
    </w:p>
    <w:p w:rsidR="00C11BCD" w:rsidRDefault="00C11BCD" w:rsidP="008F5700">
      <w:pPr>
        <w:spacing w:before="240" w:after="0" w:line="276" w:lineRule="auto"/>
        <w:contextualSpacing/>
        <w:jc w:val="both"/>
        <w:rPr>
          <w:rFonts w:ascii="Garamond" w:hAnsi="Garamond" w:cs="Times New Roman"/>
          <w:b/>
          <w:i/>
        </w:rPr>
      </w:pPr>
      <w:r>
        <w:rPr>
          <w:rFonts w:ascii="Garamond" w:hAnsi="Garamond" w:cs="Times New Roman"/>
          <w:b/>
          <w:i/>
        </w:rPr>
        <w:t>CLÁUSULA QUINTA.- LIQUIDACIÓN</w:t>
      </w:r>
    </w:p>
    <w:p w:rsidR="00C11BCD" w:rsidRPr="00B0437B" w:rsidRDefault="00C11BCD" w:rsidP="008F5700">
      <w:pPr>
        <w:spacing w:after="240" w:line="276" w:lineRule="auto"/>
        <w:contextualSpacing/>
        <w:jc w:val="both"/>
        <w:rPr>
          <w:rFonts w:ascii="Garamond" w:hAnsi="Garamond" w:cs="Times New Roman"/>
        </w:rPr>
      </w:pPr>
    </w:p>
    <w:p w:rsidR="00C11BCD" w:rsidRPr="00B0437B" w:rsidRDefault="00C11BCD" w:rsidP="008F5700">
      <w:pPr>
        <w:spacing w:after="240" w:line="276" w:lineRule="auto"/>
        <w:contextualSpacing/>
        <w:jc w:val="both"/>
        <w:rPr>
          <w:rFonts w:ascii="Garamond" w:hAnsi="Garamond" w:cs="Times New Roman"/>
        </w:rPr>
      </w:pPr>
      <w:r w:rsidRPr="00B0437B">
        <w:rPr>
          <w:rFonts w:ascii="Garamond" w:hAnsi="Garamond" w:cs="Times New Roman"/>
        </w:rPr>
        <w:t xml:space="preserve">Una vez cumplidos todos los compromisos, objeto, aporte económico y una vez que se desarrolla el informe final de gestión de los convenios,  las partes convienen en dar por liquidadas las obligaciones resultantes del convenio en cuestión, dando lugar a que a posterior a esta liquidación, ninguna de las instituciones tiene derecho a reclamar bajo ningún concepto la reparación de ningún tipo. </w:t>
      </w:r>
    </w:p>
    <w:p w:rsidR="00C11BCD" w:rsidRDefault="00C11BCD" w:rsidP="008F5700">
      <w:pPr>
        <w:spacing w:after="240" w:line="276" w:lineRule="auto"/>
        <w:contextualSpacing/>
        <w:jc w:val="both"/>
        <w:rPr>
          <w:rFonts w:ascii="Garamond" w:hAnsi="Garamond" w:cs="Times New Roman"/>
          <w:b/>
        </w:rPr>
      </w:pPr>
    </w:p>
    <w:p w:rsidR="00C11BCD" w:rsidRDefault="00C11BCD" w:rsidP="008F5700">
      <w:pPr>
        <w:spacing w:after="240" w:line="276" w:lineRule="auto"/>
        <w:contextualSpacing/>
        <w:jc w:val="both"/>
        <w:rPr>
          <w:rFonts w:ascii="Garamond" w:hAnsi="Garamond" w:cs="Times New Roman"/>
          <w:b/>
          <w:lang w:val="es-ES_tradnl"/>
        </w:rPr>
      </w:pPr>
      <w:r>
        <w:rPr>
          <w:rFonts w:ascii="Garamond" w:hAnsi="Garamond" w:cs="Times New Roman"/>
          <w:b/>
          <w:lang w:val="es-ES_tradnl"/>
        </w:rPr>
        <w:t>CLÁUSULA SEXTA</w:t>
      </w:r>
      <w:r w:rsidRPr="00FF251F">
        <w:rPr>
          <w:rFonts w:ascii="Garamond" w:hAnsi="Garamond" w:cs="Times New Roman"/>
          <w:b/>
          <w:lang w:val="es-ES_tradnl"/>
        </w:rPr>
        <w:t>. - DOCUMENTOS HABILITANTES</w:t>
      </w:r>
    </w:p>
    <w:p w:rsidR="00C11BCD" w:rsidRPr="00B0437B" w:rsidRDefault="00C11BCD" w:rsidP="008F5700">
      <w:pPr>
        <w:spacing w:after="240" w:line="276" w:lineRule="auto"/>
        <w:contextualSpacing/>
        <w:jc w:val="both"/>
        <w:rPr>
          <w:rFonts w:ascii="Garamond" w:hAnsi="Garamond" w:cs="Times New Roman"/>
          <w:lang w:val="es-ES_tradnl"/>
        </w:rPr>
      </w:pPr>
    </w:p>
    <w:p w:rsidR="00C11BCD" w:rsidRDefault="00C11BCD" w:rsidP="00B0437B">
      <w:pPr>
        <w:pStyle w:val="Prrafodelista"/>
        <w:numPr>
          <w:ilvl w:val="0"/>
          <w:numId w:val="4"/>
        </w:numPr>
        <w:spacing w:after="240" w:line="276" w:lineRule="auto"/>
        <w:jc w:val="both"/>
        <w:rPr>
          <w:rFonts w:ascii="Garamond" w:hAnsi="Garamond" w:cs="Times New Roman"/>
          <w:lang w:val="es-ES_tradnl"/>
        </w:rPr>
      </w:pPr>
      <w:r w:rsidRPr="00B0437B">
        <w:rPr>
          <w:rFonts w:ascii="Garamond" w:hAnsi="Garamond" w:cs="Times New Roman"/>
          <w:lang w:val="es-ES_tradnl"/>
        </w:rPr>
        <w:t>Informes finales de gestión con sus anexos</w:t>
      </w:r>
    </w:p>
    <w:p w:rsidR="00C11BCD" w:rsidRDefault="00C11BCD" w:rsidP="00B0437B">
      <w:pPr>
        <w:pStyle w:val="Prrafodelista"/>
        <w:spacing w:after="240" w:line="276" w:lineRule="auto"/>
        <w:jc w:val="both"/>
        <w:rPr>
          <w:rFonts w:ascii="Garamond" w:hAnsi="Garamond" w:cs="Times New Roman"/>
          <w:lang w:val="es-ES_tradnl"/>
        </w:rPr>
      </w:pPr>
    </w:p>
    <w:p w:rsidR="00C11BCD" w:rsidRPr="00B0437B" w:rsidRDefault="00C11BCD" w:rsidP="00B0437B">
      <w:pPr>
        <w:spacing w:after="0" w:line="276" w:lineRule="auto"/>
        <w:jc w:val="both"/>
        <w:rPr>
          <w:rFonts w:ascii="Garamond" w:hAnsi="Garamond" w:cs="Times New Roman"/>
          <w:b/>
          <w:lang w:val="es-ES_tradnl"/>
        </w:rPr>
      </w:pPr>
      <w:r w:rsidRPr="00B0437B">
        <w:rPr>
          <w:rFonts w:ascii="Garamond" w:hAnsi="Garamond" w:cs="Times New Roman"/>
          <w:b/>
          <w:lang w:val="es-ES_tradnl"/>
        </w:rPr>
        <w:t>CLÁUSULA SEPTIMA. - ACEPTACIÓN DE LAS PARTES:</w:t>
      </w:r>
    </w:p>
    <w:p w:rsidR="00C11BCD" w:rsidRDefault="00C11BCD" w:rsidP="00B0437B">
      <w:pPr>
        <w:spacing w:after="240" w:line="276" w:lineRule="auto"/>
        <w:jc w:val="both"/>
        <w:rPr>
          <w:rFonts w:ascii="Garamond" w:hAnsi="Garamond" w:cs="Times New Roman"/>
          <w:lang w:val="es-ES_tradnl"/>
        </w:rPr>
      </w:pPr>
    </w:p>
    <w:p w:rsidR="00C11BCD" w:rsidRPr="00FF251F" w:rsidRDefault="00C11BCD" w:rsidP="00B0437B">
      <w:pPr>
        <w:spacing w:after="240" w:line="276" w:lineRule="auto"/>
        <w:jc w:val="both"/>
        <w:rPr>
          <w:rFonts w:ascii="Garamond" w:hAnsi="Garamond" w:cs="Times New Roman"/>
          <w:lang w:val="es-ES_tradnl"/>
        </w:rPr>
      </w:pPr>
      <w:r w:rsidRPr="00FF251F">
        <w:rPr>
          <w:rFonts w:ascii="Garamond" w:hAnsi="Garamond" w:cs="Times New Roman"/>
          <w:lang w:val="es-ES_tradnl"/>
        </w:rPr>
        <w:t xml:space="preserve">Para constancia y en fe de la aceptación de todo lo constante en este instrumento, las partes suscriben el presente documento en tres ejemplares de igual tenor y valor. </w:t>
      </w:r>
    </w:p>
    <w:p w:rsidR="00C11BCD" w:rsidRPr="00FF251F" w:rsidRDefault="00C11BCD" w:rsidP="00B0437B">
      <w:pPr>
        <w:spacing w:line="276" w:lineRule="auto"/>
        <w:jc w:val="both"/>
        <w:rPr>
          <w:rFonts w:ascii="Garamond" w:hAnsi="Garamond" w:cs="Times New Roman"/>
          <w:lang w:val="es-ES_tradnl"/>
        </w:rPr>
      </w:pPr>
      <w:r w:rsidRPr="00FF251F">
        <w:rPr>
          <w:rFonts w:ascii="Garamond" w:hAnsi="Garamond" w:cs="Times New Roman"/>
          <w:lang w:val="es-ES_tradnl"/>
        </w:rPr>
        <w:t>En la ciudad de</w:t>
      </w:r>
      <w:r>
        <w:rPr>
          <w:rFonts w:ascii="Garamond" w:hAnsi="Garamond" w:cs="Times New Roman"/>
          <w:lang w:val="es-ES_tradnl"/>
        </w:rPr>
        <w:t xml:space="preserve"> </w:t>
      </w:r>
      <w:r w:rsidRPr="001330D0">
        <w:rPr>
          <w:rFonts w:ascii="Garamond" w:hAnsi="Garamond" w:cs="Times New Roman"/>
          <w:noProof/>
          <w:lang w:val="es-ES_tradnl"/>
        </w:rPr>
        <w:t>Quito</w:t>
      </w:r>
      <w:r w:rsidRPr="00FF251F">
        <w:rPr>
          <w:rFonts w:ascii="Garamond" w:hAnsi="Garamond" w:cs="Times New Roman"/>
          <w:lang w:val="es-ES_tradnl"/>
        </w:rPr>
        <w:t>, a los</w:t>
      </w:r>
      <w:r>
        <w:rPr>
          <w:rFonts w:ascii="Garamond" w:hAnsi="Garamond" w:cs="Times New Roman"/>
          <w:lang w:val="es-ES_tradnl"/>
        </w:rPr>
        <w:t xml:space="preserve"> </w:t>
      </w:r>
      <w:r>
        <w:rPr>
          <w:rFonts w:ascii="Garamond" w:hAnsi="Garamond" w:cs="Times New Roman"/>
          <w:noProof/>
          <w:lang w:val="es-ES_tradnl"/>
        </w:rPr>
        <w:t>xx</w:t>
      </w:r>
      <w:r w:rsidRPr="001330D0">
        <w:rPr>
          <w:rFonts w:ascii="Garamond" w:hAnsi="Garamond" w:cs="Times New Roman"/>
          <w:noProof/>
          <w:lang w:val="es-ES_tradnl"/>
        </w:rPr>
        <w:t xml:space="preserve"> díasdel mes de </w:t>
      </w:r>
      <w:r>
        <w:rPr>
          <w:rFonts w:ascii="Garamond" w:hAnsi="Garamond" w:cs="Times New Roman"/>
          <w:noProof/>
          <w:lang w:val="es-ES_tradnl"/>
        </w:rPr>
        <w:t>xxxxxx</w:t>
      </w:r>
      <w:r w:rsidRPr="001330D0">
        <w:rPr>
          <w:rFonts w:ascii="Garamond" w:hAnsi="Garamond" w:cs="Times New Roman"/>
          <w:noProof/>
          <w:lang w:val="es-ES_tradnl"/>
        </w:rPr>
        <w:t xml:space="preserve"> de 2022</w:t>
      </w:r>
      <w:r>
        <w:rPr>
          <w:rFonts w:ascii="Garamond" w:hAnsi="Garamond" w:cs="Times New Roman"/>
          <w:lang w:val="es-ES_tradnl"/>
        </w:rPr>
        <w:t>.</w:t>
      </w:r>
    </w:p>
    <w:p w:rsidR="00C11BCD" w:rsidRPr="00B0437B" w:rsidRDefault="00C11BCD" w:rsidP="00B0437B">
      <w:pPr>
        <w:pStyle w:val="Prrafodelista"/>
        <w:spacing w:after="240" w:line="276" w:lineRule="auto"/>
        <w:jc w:val="both"/>
        <w:rPr>
          <w:rFonts w:ascii="Garamond" w:hAnsi="Garamond" w:cs="Times New Roman"/>
          <w:lang w:val="es-ES_tradnl"/>
        </w:rPr>
      </w:pPr>
    </w:p>
    <w:p w:rsidR="00C11BCD" w:rsidRDefault="00C11BCD" w:rsidP="008F5700">
      <w:pPr>
        <w:spacing w:after="240" w:line="276" w:lineRule="auto"/>
        <w:contextualSpacing/>
        <w:jc w:val="both"/>
        <w:rPr>
          <w:rFonts w:ascii="Garamond" w:hAnsi="Garamond" w:cs="Times New Roman"/>
          <w:b/>
          <w:lang w:val="es-ES_tradnl"/>
        </w:rPr>
      </w:pPr>
    </w:p>
    <w:tbl>
      <w:tblPr>
        <w:tblW w:w="0" w:type="auto"/>
        <w:tblLook w:val="04A0" w:firstRow="1" w:lastRow="0" w:firstColumn="1" w:lastColumn="0" w:noHBand="0" w:noVBand="1"/>
      </w:tblPr>
      <w:tblGrid>
        <w:gridCol w:w="4077"/>
        <w:gridCol w:w="4077"/>
      </w:tblGrid>
      <w:tr w:rsidR="00C11BCD" w:rsidRPr="00FF251F" w:rsidTr="00F7079B">
        <w:tc>
          <w:tcPr>
            <w:tcW w:w="4401" w:type="dxa"/>
          </w:tcPr>
          <w:p w:rsidR="00C11BCD" w:rsidRPr="00FF251F" w:rsidRDefault="00C11BCD" w:rsidP="00F7079B">
            <w:pPr>
              <w:spacing w:after="0"/>
              <w:contextualSpacing/>
              <w:jc w:val="center"/>
              <w:rPr>
                <w:rFonts w:ascii="Garamond" w:hAnsi="Garamond"/>
              </w:rPr>
            </w:pPr>
            <w:r w:rsidRPr="00FF251F">
              <w:rPr>
                <w:rFonts w:ascii="Garamond" w:hAnsi="Garamond"/>
              </w:rPr>
              <w:t>Ing. Lorena Rosas</w:t>
            </w:r>
          </w:p>
          <w:p w:rsidR="00C11BCD" w:rsidRPr="00FF251F" w:rsidRDefault="00C11BCD" w:rsidP="00F7079B">
            <w:pPr>
              <w:spacing w:after="0"/>
              <w:contextualSpacing/>
              <w:jc w:val="center"/>
              <w:rPr>
                <w:rFonts w:ascii="Garamond" w:hAnsi="Garamond"/>
              </w:rPr>
            </w:pPr>
          </w:p>
          <w:p w:rsidR="00C11BCD" w:rsidRPr="00FF251F" w:rsidRDefault="00C11BCD" w:rsidP="00F7079B">
            <w:pPr>
              <w:spacing w:after="0"/>
              <w:contextualSpacing/>
              <w:jc w:val="center"/>
              <w:rPr>
                <w:rFonts w:ascii="Garamond" w:hAnsi="Garamond"/>
              </w:rPr>
            </w:pPr>
          </w:p>
          <w:p w:rsidR="00C11BCD" w:rsidRPr="00FF251F" w:rsidRDefault="00C11BCD" w:rsidP="00F7079B">
            <w:pPr>
              <w:spacing w:after="0"/>
              <w:contextualSpacing/>
              <w:jc w:val="center"/>
              <w:rPr>
                <w:rFonts w:ascii="Garamond" w:hAnsi="Garamond"/>
              </w:rPr>
            </w:pPr>
          </w:p>
          <w:p w:rsidR="00C11BCD" w:rsidRPr="00FF251F" w:rsidRDefault="00C11BCD" w:rsidP="00F7079B">
            <w:pPr>
              <w:spacing w:after="0"/>
              <w:contextualSpacing/>
              <w:jc w:val="center"/>
              <w:rPr>
                <w:rFonts w:ascii="Garamond" w:hAnsi="Garamond"/>
              </w:rPr>
            </w:pPr>
          </w:p>
          <w:p w:rsidR="00C11BCD" w:rsidRPr="00FF251F" w:rsidRDefault="00C11BCD" w:rsidP="00F7079B">
            <w:pPr>
              <w:spacing w:after="0"/>
              <w:contextualSpacing/>
              <w:jc w:val="center"/>
              <w:rPr>
                <w:rFonts w:ascii="Garamond" w:hAnsi="Garamond"/>
              </w:rPr>
            </w:pPr>
          </w:p>
          <w:p w:rsidR="00C11BCD" w:rsidRPr="00FF251F" w:rsidRDefault="00C11BCD" w:rsidP="00F7079B">
            <w:pPr>
              <w:spacing w:after="0"/>
              <w:contextualSpacing/>
              <w:jc w:val="center"/>
              <w:rPr>
                <w:rFonts w:ascii="Garamond" w:hAnsi="Garamond"/>
              </w:rPr>
            </w:pPr>
          </w:p>
          <w:p w:rsidR="00C11BCD" w:rsidRPr="00FF251F" w:rsidRDefault="00C11BCD" w:rsidP="00F7079B">
            <w:pPr>
              <w:spacing w:after="0"/>
              <w:contextualSpacing/>
              <w:jc w:val="center"/>
              <w:rPr>
                <w:rFonts w:ascii="Garamond" w:hAnsi="Garamond"/>
              </w:rPr>
            </w:pPr>
            <w:r w:rsidRPr="00FF251F">
              <w:rPr>
                <w:rFonts w:ascii="Garamond" w:hAnsi="Garamond"/>
              </w:rPr>
              <w:t>ADMINISTRADOR/LIQUIDADOR</w:t>
            </w:r>
          </w:p>
          <w:p w:rsidR="00C11BCD" w:rsidRPr="00FF251F" w:rsidRDefault="00C11BCD" w:rsidP="00F7079B">
            <w:pPr>
              <w:spacing w:after="0"/>
              <w:contextualSpacing/>
              <w:jc w:val="center"/>
              <w:rPr>
                <w:rFonts w:ascii="Garamond" w:hAnsi="Garamond"/>
                <w:b/>
              </w:rPr>
            </w:pPr>
            <w:r w:rsidRPr="00FF251F">
              <w:rPr>
                <w:rFonts w:ascii="Garamond" w:hAnsi="Garamond"/>
                <w:b/>
              </w:rPr>
              <w:t>ESPECIALISTA GEOMÁTICA Y DE VALORACIÓN</w:t>
            </w:r>
          </w:p>
          <w:p w:rsidR="00C11BCD" w:rsidRPr="00FF251F" w:rsidRDefault="00C11BCD" w:rsidP="00F7079B">
            <w:pPr>
              <w:spacing w:after="0"/>
              <w:contextualSpacing/>
              <w:jc w:val="center"/>
              <w:rPr>
                <w:rFonts w:ascii="Garamond" w:hAnsi="Garamond"/>
                <w:b/>
              </w:rPr>
            </w:pPr>
            <w:r w:rsidRPr="00FF251F">
              <w:rPr>
                <w:rFonts w:ascii="Garamond" w:hAnsi="Garamond"/>
                <w:b/>
              </w:rPr>
              <w:t>UNIDAD EJECUTORA MAGAP-PRAT</w:t>
            </w:r>
          </w:p>
        </w:tc>
        <w:tc>
          <w:tcPr>
            <w:tcW w:w="4401" w:type="dxa"/>
            <w:shd w:val="clear" w:color="auto" w:fill="auto"/>
          </w:tcPr>
          <w:p w:rsidR="00C11BCD" w:rsidRDefault="00C11BCD" w:rsidP="00F7079B">
            <w:pPr>
              <w:spacing w:after="0"/>
              <w:contextualSpacing/>
              <w:jc w:val="center"/>
              <w:rPr>
                <w:rFonts w:ascii="Garamond" w:hAnsi="Garamond"/>
                <w:noProof/>
                <w:color w:val="222222"/>
                <w:shd w:val="clear" w:color="auto" w:fill="FFFFFF"/>
              </w:rPr>
            </w:pPr>
            <w:r w:rsidRPr="000230EB">
              <w:rPr>
                <w:rFonts w:ascii="Garamond" w:hAnsi="Garamond"/>
                <w:noProof/>
                <w:color w:val="222222"/>
                <w:shd w:val="clear" w:color="auto" w:fill="FFFFFF"/>
              </w:rPr>
              <w:t>Arq. Alex Mora López</w:t>
            </w:r>
          </w:p>
          <w:p w:rsidR="00C11BCD" w:rsidRPr="00FF251F" w:rsidRDefault="00C11BCD" w:rsidP="00F7079B">
            <w:pPr>
              <w:spacing w:after="0"/>
              <w:contextualSpacing/>
              <w:jc w:val="center"/>
              <w:rPr>
                <w:rFonts w:ascii="Garamond" w:hAnsi="Garamond"/>
                <w:color w:val="222222"/>
                <w:shd w:val="clear" w:color="auto" w:fill="FFFFFF"/>
              </w:rPr>
            </w:pPr>
          </w:p>
          <w:p w:rsidR="00C11BCD" w:rsidRPr="00FF251F" w:rsidRDefault="00C11BCD" w:rsidP="00F7079B">
            <w:pPr>
              <w:spacing w:after="0"/>
              <w:contextualSpacing/>
              <w:jc w:val="center"/>
              <w:rPr>
                <w:rFonts w:ascii="Garamond" w:hAnsi="Garamond"/>
                <w:color w:val="222222"/>
                <w:shd w:val="clear" w:color="auto" w:fill="FFFFFF"/>
              </w:rPr>
            </w:pPr>
          </w:p>
          <w:p w:rsidR="00C11BCD" w:rsidRPr="00FF251F" w:rsidRDefault="00C11BCD" w:rsidP="00F7079B">
            <w:pPr>
              <w:spacing w:after="0"/>
              <w:contextualSpacing/>
              <w:jc w:val="center"/>
              <w:rPr>
                <w:rFonts w:ascii="Garamond" w:hAnsi="Garamond"/>
                <w:color w:val="222222"/>
                <w:shd w:val="clear" w:color="auto" w:fill="FFFFFF"/>
              </w:rPr>
            </w:pPr>
          </w:p>
          <w:p w:rsidR="00C11BCD" w:rsidRPr="00FF251F" w:rsidRDefault="00C11BCD" w:rsidP="00F7079B">
            <w:pPr>
              <w:spacing w:after="0"/>
              <w:contextualSpacing/>
              <w:jc w:val="center"/>
              <w:rPr>
                <w:rFonts w:ascii="Garamond" w:hAnsi="Garamond"/>
                <w:color w:val="222222"/>
                <w:shd w:val="clear" w:color="auto" w:fill="FFFFFF"/>
              </w:rPr>
            </w:pPr>
          </w:p>
          <w:p w:rsidR="00C11BCD" w:rsidRPr="00FF251F" w:rsidRDefault="00C11BCD" w:rsidP="00F7079B">
            <w:pPr>
              <w:spacing w:after="0"/>
              <w:contextualSpacing/>
              <w:jc w:val="center"/>
              <w:rPr>
                <w:rFonts w:ascii="Garamond" w:hAnsi="Garamond"/>
                <w:color w:val="222222"/>
                <w:shd w:val="clear" w:color="auto" w:fill="FFFFFF"/>
              </w:rPr>
            </w:pPr>
          </w:p>
          <w:p w:rsidR="00C11BCD" w:rsidRPr="00FF251F" w:rsidRDefault="00C11BCD" w:rsidP="00F7079B">
            <w:pPr>
              <w:spacing w:after="0"/>
              <w:contextualSpacing/>
              <w:jc w:val="center"/>
              <w:rPr>
                <w:rFonts w:ascii="Garamond" w:hAnsi="Garamond"/>
                <w:color w:val="222222"/>
                <w:shd w:val="clear" w:color="auto" w:fill="FFFFFF"/>
              </w:rPr>
            </w:pPr>
          </w:p>
          <w:p w:rsidR="00C11BCD" w:rsidRPr="00FF251F" w:rsidRDefault="00C11BCD" w:rsidP="00F7079B">
            <w:pPr>
              <w:spacing w:after="0"/>
              <w:contextualSpacing/>
              <w:jc w:val="center"/>
              <w:rPr>
                <w:rFonts w:ascii="Garamond" w:hAnsi="Garamond"/>
              </w:rPr>
            </w:pPr>
            <w:r w:rsidRPr="00FF251F">
              <w:rPr>
                <w:rFonts w:ascii="Garamond" w:hAnsi="Garamond"/>
              </w:rPr>
              <w:t>ADMINISTRADOR/LIQUIDADOR</w:t>
            </w:r>
          </w:p>
          <w:p w:rsidR="00C11BCD" w:rsidRPr="00FF251F" w:rsidRDefault="00C11BCD" w:rsidP="001873C0">
            <w:pPr>
              <w:spacing w:after="0"/>
              <w:jc w:val="center"/>
              <w:rPr>
                <w:rFonts w:ascii="Garamond" w:hAnsi="Garamond"/>
              </w:rPr>
            </w:pPr>
            <w:r w:rsidRPr="00FF251F">
              <w:rPr>
                <w:rFonts w:ascii="Garamond" w:hAnsi="Garamond"/>
                <w:b/>
              </w:rPr>
              <w:t xml:space="preserve">GAD MUNICIPAL DE </w:t>
            </w:r>
            <w:r w:rsidRPr="000230EB">
              <w:rPr>
                <w:rFonts w:ascii="Garamond" w:hAnsi="Garamond"/>
                <w:b/>
                <w:caps/>
                <w:noProof/>
              </w:rPr>
              <w:t>Celica</w:t>
            </w:r>
          </w:p>
        </w:tc>
      </w:tr>
    </w:tbl>
    <w:p w:rsidR="00C11BCD" w:rsidRPr="000C0A05" w:rsidRDefault="00C11BCD" w:rsidP="008F5700">
      <w:pPr>
        <w:spacing w:after="240" w:line="276" w:lineRule="auto"/>
        <w:contextualSpacing/>
        <w:jc w:val="both"/>
        <w:rPr>
          <w:rFonts w:ascii="Garamond" w:hAnsi="Garamond" w:cs="Times New Roman"/>
          <w:b/>
        </w:rPr>
      </w:pPr>
    </w:p>
    <w:p w:rsidR="00C11BCD" w:rsidRDefault="00C11BCD" w:rsidP="008F5700">
      <w:pPr>
        <w:spacing w:before="240" w:after="0" w:line="276" w:lineRule="auto"/>
        <w:contextualSpacing/>
        <w:jc w:val="both"/>
        <w:rPr>
          <w:rFonts w:ascii="Garamond" w:hAnsi="Garamond" w:cs="Times New Roman"/>
          <w:lang w:val="es-ES_tradnl"/>
        </w:rPr>
        <w:sectPr w:rsidR="00C11BCD" w:rsidSect="008F5700">
          <w:headerReference w:type="default" r:id="rId9"/>
          <w:footerReference w:type="default" r:id="rId10"/>
          <w:pgSz w:w="11900" w:h="16840"/>
          <w:pgMar w:top="2837" w:right="1977" w:bottom="1417" w:left="1985" w:header="0" w:footer="2180" w:gutter="0"/>
          <w:pgNumType w:start="1"/>
          <w:cols w:space="720"/>
        </w:sectPr>
      </w:pPr>
    </w:p>
    <w:p w:rsidR="00C11BCD" w:rsidRPr="008F5700" w:rsidRDefault="00C11BCD" w:rsidP="008F5700">
      <w:pPr>
        <w:spacing w:before="240" w:after="0" w:line="276" w:lineRule="auto"/>
        <w:contextualSpacing/>
        <w:jc w:val="both"/>
        <w:rPr>
          <w:rFonts w:ascii="Garamond" w:hAnsi="Garamond" w:cs="Times New Roman"/>
          <w:lang w:val="es-ES_tradnl"/>
        </w:rPr>
      </w:pPr>
    </w:p>
    <w:sectPr w:rsidR="00C11BCD" w:rsidRPr="008F5700" w:rsidSect="00C11BCD">
      <w:headerReference w:type="default" r:id="rId11"/>
      <w:footerReference w:type="default" r:id="rId12"/>
      <w:type w:val="continuous"/>
      <w:pgSz w:w="11900" w:h="16840"/>
      <w:pgMar w:top="2837" w:right="1977" w:bottom="1417" w:left="1985" w:header="0" w:footer="218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D94" w:rsidRDefault="00EA3D94">
      <w:pPr>
        <w:spacing w:after="0" w:line="240" w:lineRule="auto"/>
      </w:pPr>
      <w:r>
        <w:separator/>
      </w:r>
    </w:p>
  </w:endnote>
  <w:endnote w:type="continuationSeparator" w:id="0">
    <w:p w:rsidR="00EA3D94" w:rsidRDefault="00EA3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BCD" w:rsidRDefault="00C11BCD">
    <w:pPr>
      <w:pBdr>
        <w:top w:val="nil"/>
        <w:left w:val="nil"/>
        <w:bottom w:val="nil"/>
        <w:right w:val="nil"/>
        <w:between w:val="nil"/>
      </w:pBdr>
      <w:tabs>
        <w:tab w:val="center" w:pos="4252"/>
        <w:tab w:val="right" w:pos="8504"/>
      </w:tabs>
      <w:spacing w:after="0" w:line="240" w:lineRule="auto"/>
      <w:rPr>
        <w:color w:val="000000"/>
        <w:sz w:val="24"/>
        <w:szCs w:val="24"/>
      </w:rPr>
    </w:pPr>
    <w:r>
      <w:rPr>
        <w:noProof/>
        <w:lang w:val="en-US"/>
      </w:rPr>
      <w:drawing>
        <wp:anchor distT="0" distB="0" distL="114300" distR="114300" simplePos="0" relativeHeight="251663360" behindDoc="0" locked="0" layoutInCell="1" hidden="0" allowOverlap="1" wp14:anchorId="5C990FD6" wp14:editId="77017D4C">
          <wp:simplePos x="0" y="0"/>
          <wp:positionH relativeFrom="column">
            <wp:posOffset>-1274444</wp:posOffset>
          </wp:positionH>
          <wp:positionV relativeFrom="paragraph">
            <wp:posOffset>-6349</wp:posOffset>
          </wp:positionV>
          <wp:extent cx="7675739" cy="1371600"/>
          <wp:effectExtent l="0" t="0" r="0" b="0"/>
          <wp:wrapNone/>
          <wp:docPr id="2" name="image1.jpg" descr="Macintosh HD:Users:carolinaherrera:Desktop:Sin título-1-02.jpg"/>
          <wp:cNvGraphicFramePr/>
          <a:graphic xmlns:a="http://schemas.openxmlformats.org/drawingml/2006/main">
            <a:graphicData uri="http://schemas.openxmlformats.org/drawingml/2006/picture">
              <pic:pic xmlns:pic="http://schemas.openxmlformats.org/drawingml/2006/picture">
                <pic:nvPicPr>
                  <pic:cNvPr id="0" name="image1.jpg" descr="Macintosh HD:Users:carolinaherrera:Desktop:Sin título-1-02.jpg"/>
                  <pic:cNvPicPr preferRelativeResize="0"/>
                </pic:nvPicPr>
                <pic:blipFill>
                  <a:blip r:embed="rId1"/>
                  <a:srcRect/>
                  <a:stretch>
                    <a:fillRect/>
                  </a:stretch>
                </pic:blipFill>
                <pic:spPr>
                  <a:xfrm>
                    <a:off x="0" y="0"/>
                    <a:ext cx="7675739" cy="1371600"/>
                  </a:xfrm>
                  <a:prstGeom prst="rect">
                    <a:avLst/>
                  </a:prstGeom>
                  <a:ln/>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79B" w:rsidRDefault="00F7079B">
    <w:pPr>
      <w:pBdr>
        <w:top w:val="nil"/>
        <w:left w:val="nil"/>
        <w:bottom w:val="nil"/>
        <w:right w:val="nil"/>
        <w:between w:val="nil"/>
      </w:pBdr>
      <w:tabs>
        <w:tab w:val="center" w:pos="4252"/>
        <w:tab w:val="right" w:pos="8504"/>
      </w:tabs>
      <w:spacing w:after="0" w:line="240" w:lineRule="auto"/>
      <w:rPr>
        <w:color w:val="000000"/>
        <w:sz w:val="24"/>
        <w:szCs w:val="24"/>
      </w:rPr>
    </w:pPr>
    <w:r>
      <w:rPr>
        <w:noProof/>
        <w:lang w:val="en-US"/>
      </w:rPr>
      <w:drawing>
        <wp:anchor distT="0" distB="0" distL="114300" distR="114300" simplePos="0" relativeHeight="251660288" behindDoc="0" locked="0" layoutInCell="1" hidden="0" allowOverlap="1" wp14:anchorId="5C990FD6" wp14:editId="77017D4C">
          <wp:simplePos x="0" y="0"/>
          <wp:positionH relativeFrom="column">
            <wp:posOffset>-1274444</wp:posOffset>
          </wp:positionH>
          <wp:positionV relativeFrom="paragraph">
            <wp:posOffset>-6349</wp:posOffset>
          </wp:positionV>
          <wp:extent cx="7675739" cy="1371600"/>
          <wp:effectExtent l="0" t="0" r="0" b="0"/>
          <wp:wrapNone/>
          <wp:docPr id="3" name="image1.jpg" descr="Macintosh HD:Users:carolinaherrera:Desktop:Sin título-1-02.jpg"/>
          <wp:cNvGraphicFramePr/>
          <a:graphic xmlns:a="http://schemas.openxmlformats.org/drawingml/2006/main">
            <a:graphicData uri="http://schemas.openxmlformats.org/drawingml/2006/picture">
              <pic:pic xmlns:pic="http://schemas.openxmlformats.org/drawingml/2006/picture">
                <pic:nvPicPr>
                  <pic:cNvPr id="0" name="image1.jpg" descr="Macintosh HD:Users:carolinaherrera:Desktop:Sin título-1-02.jpg"/>
                  <pic:cNvPicPr preferRelativeResize="0"/>
                </pic:nvPicPr>
                <pic:blipFill>
                  <a:blip r:embed="rId1"/>
                  <a:srcRect/>
                  <a:stretch>
                    <a:fillRect/>
                  </a:stretch>
                </pic:blipFill>
                <pic:spPr>
                  <a:xfrm>
                    <a:off x="0" y="0"/>
                    <a:ext cx="7675739" cy="1371600"/>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D94" w:rsidRDefault="00EA3D94">
      <w:pPr>
        <w:spacing w:after="0" w:line="240" w:lineRule="auto"/>
      </w:pPr>
      <w:r>
        <w:separator/>
      </w:r>
    </w:p>
  </w:footnote>
  <w:footnote w:type="continuationSeparator" w:id="0">
    <w:p w:rsidR="00EA3D94" w:rsidRDefault="00EA3D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BCD" w:rsidRDefault="00C11BCD">
    <w:pPr>
      <w:pBdr>
        <w:top w:val="nil"/>
        <w:left w:val="nil"/>
        <w:bottom w:val="nil"/>
        <w:right w:val="nil"/>
        <w:between w:val="nil"/>
      </w:pBdr>
      <w:tabs>
        <w:tab w:val="center" w:pos="4252"/>
        <w:tab w:val="right" w:pos="8504"/>
        <w:tab w:val="right" w:pos="8498"/>
      </w:tabs>
      <w:spacing w:after="0" w:line="240" w:lineRule="auto"/>
      <w:ind w:left="-1701"/>
      <w:rPr>
        <w:color w:val="000000"/>
        <w:sz w:val="24"/>
        <w:szCs w:val="24"/>
      </w:rPr>
    </w:pPr>
    <w:r>
      <w:rPr>
        <w:noProof/>
        <w:lang w:val="en-US"/>
      </w:rPr>
      <w:drawing>
        <wp:anchor distT="0" distB="0" distL="114300" distR="114300" simplePos="0" relativeHeight="251662336" behindDoc="0" locked="0" layoutInCell="1" hidden="0" allowOverlap="1" wp14:anchorId="364FE43A" wp14:editId="31F34489">
          <wp:simplePos x="0" y="0"/>
          <wp:positionH relativeFrom="column">
            <wp:posOffset>-1257299</wp:posOffset>
          </wp:positionH>
          <wp:positionV relativeFrom="paragraph">
            <wp:posOffset>-15874</wp:posOffset>
          </wp:positionV>
          <wp:extent cx="7621169" cy="1665594"/>
          <wp:effectExtent l="0" t="0" r="0" b="0"/>
          <wp:wrapNone/>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621169" cy="1665594"/>
                  </a:xfrm>
                  <a:prstGeom prst="rect">
                    <a:avLst/>
                  </a:prstGeom>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79B" w:rsidRDefault="00F7079B">
    <w:pPr>
      <w:pBdr>
        <w:top w:val="nil"/>
        <w:left w:val="nil"/>
        <w:bottom w:val="nil"/>
        <w:right w:val="nil"/>
        <w:between w:val="nil"/>
      </w:pBdr>
      <w:tabs>
        <w:tab w:val="center" w:pos="4252"/>
        <w:tab w:val="right" w:pos="8504"/>
        <w:tab w:val="right" w:pos="8498"/>
      </w:tabs>
      <w:spacing w:after="0" w:line="240" w:lineRule="auto"/>
      <w:ind w:left="-1701"/>
      <w:rPr>
        <w:color w:val="000000"/>
        <w:sz w:val="24"/>
        <w:szCs w:val="24"/>
      </w:rPr>
    </w:pPr>
    <w:r>
      <w:rPr>
        <w:noProof/>
        <w:lang w:val="en-US"/>
      </w:rPr>
      <w:drawing>
        <wp:anchor distT="0" distB="0" distL="114300" distR="114300" simplePos="0" relativeHeight="251659264" behindDoc="0" locked="0" layoutInCell="1" hidden="0" allowOverlap="1" wp14:anchorId="364FE43A" wp14:editId="31F34489">
          <wp:simplePos x="0" y="0"/>
          <wp:positionH relativeFrom="column">
            <wp:posOffset>-1257299</wp:posOffset>
          </wp:positionH>
          <wp:positionV relativeFrom="paragraph">
            <wp:posOffset>-15874</wp:posOffset>
          </wp:positionV>
          <wp:extent cx="7621169" cy="1665594"/>
          <wp:effectExtent l="0" t="0" r="0" b="0"/>
          <wp:wrapNone/>
          <wp:docPr id="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621169" cy="1665594"/>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72B5E"/>
    <w:multiLevelType w:val="multilevel"/>
    <w:tmpl w:val="F7400FAA"/>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
    <w:nsid w:val="4B524F54"/>
    <w:multiLevelType w:val="hybridMultilevel"/>
    <w:tmpl w:val="150268E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5C113A29"/>
    <w:multiLevelType w:val="hybridMultilevel"/>
    <w:tmpl w:val="9FE0D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B27192"/>
    <w:multiLevelType w:val="hybridMultilevel"/>
    <w:tmpl w:val="DF2C1794"/>
    <w:lvl w:ilvl="0" w:tplc="E568778E">
      <w:start w:val="1"/>
      <w:numFmt w:val="low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700"/>
    <w:rsid w:val="001873C0"/>
    <w:rsid w:val="005040CC"/>
    <w:rsid w:val="005717B6"/>
    <w:rsid w:val="008F5700"/>
    <w:rsid w:val="00962BA3"/>
    <w:rsid w:val="00A50CC2"/>
    <w:rsid w:val="00A84438"/>
    <w:rsid w:val="00B0437B"/>
    <w:rsid w:val="00B711A9"/>
    <w:rsid w:val="00C11BCD"/>
    <w:rsid w:val="00DB6078"/>
    <w:rsid w:val="00E012B2"/>
    <w:rsid w:val="00EA3D94"/>
    <w:rsid w:val="00F505D7"/>
    <w:rsid w:val="00F7079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F5700"/>
    <w:rPr>
      <w:rFonts w:ascii="Calibri" w:eastAsia="Calibri" w:hAnsi="Calibri" w:cs="Calibri"/>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F5700"/>
    <w:rPr>
      <w:rFonts w:ascii="Calibri" w:eastAsia="Calibri" w:hAnsi="Calibri" w:cs="Calibri"/>
      <w:lang w:eastAsia="es-EC"/>
    </w:rPr>
  </w:style>
  <w:style w:type="paragraph" w:styleId="Prrafodelista">
    <w:name w:val="List Paragraph"/>
    <w:basedOn w:val="Normal"/>
    <w:link w:val="PrrafodelistaCar"/>
    <w:uiPriority w:val="1"/>
    <w:qFormat/>
    <w:rsid w:val="008F5700"/>
    <w:pPr>
      <w:ind w:left="720"/>
      <w:contextualSpacing/>
    </w:pPr>
  </w:style>
  <w:style w:type="character" w:styleId="Refdecomentario">
    <w:name w:val="annotation reference"/>
    <w:basedOn w:val="Fuentedeprrafopredeter"/>
    <w:uiPriority w:val="99"/>
    <w:semiHidden/>
    <w:unhideWhenUsed/>
    <w:rsid w:val="008F5700"/>
    <w:rPr>
      <w:sz w:val="16"/>
      <w:szCs w:val="16"/>
    </w:rPr>
  </w:style>
  <w:style w:type="character" w:customStyle="1" w:styleId="PrrafodelistaCar">
    <w:name w:val="Párrafo de lista Car"/>
    <w:link w:val="Prrafodelista"/>
    <w:uiPriority w:val="1"/>
    <w:locked/>
    <w:rsid w:val="008F5700"/>
  </w:style>
  <w:style w:type="paragraph" w:styleId="NormalWeb">
    <w:name w:val="Normal (Web)"/>
    <w:basedOn w:val="Normal"/>
    <w:uiPriority w:val="99"/>
    <w:unhideWhenUsed/>
    <w:rsid w:val="008F5700"/>
    <w:pPr>
      <w:spacing w:before="100" w:beforeAutospacing="1" w:after="100" w:afterAutospacing="1" w:line="240" w:lineRule="auto"/>
    </w:pPr>
    <w:rPr>
      <w:rFonts w:ascii="Times New Roman" w:eastAsia="Times New Roman" w:hAnsi="Times New Roman" w:cs="Times New Roman"/>
      <w:sz w:val="24"/>
      <w:szCs w:val="24"/>
      <w:lang w:eastAsia="es-EC"/>
    </w:rPr>
  </w:style>
  <w:style w:type="paragraph" w:customStyle="1" w:styleId="Default">
    <w:name w:val="Default"/>
    <w:rsid w:val="008F5700"/>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F5700"/>
    <w:rPr>
      <w:rFonts w:ascii="Calibri" w:eastAsia="Calibri" w:hAnsi="Calibri" w:cs="Calibri"/>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F5700"/>
    <w:rPr>
      <w:rFonts w:ascii="Calibri" w:eastAsia="Calibri" w:hAnsi="Calibri" w:cs="Calibri"/>
      <w:lang w:eastAsia="es-EC"/>
    </w:rPr>
  </w:style>
  <w:style w:type="paragraph" w:styleId="Prrafodelista">
    <w:name w:val="List Paragraph"/>
    <w:basedOn w:val="Normal"/>
    <w:link w:val="PrrafodelistaCar"/>
    <w:uiPriority w:val="1"/>
    <w:qFormat/>
    <w:rsid w:val="008F5700"/>
    <w:pPr>
      <w:ind w:left="720"/>
      <w:contextualSpacing/>
    </w:pPr>
  </w:style>
  <w:style w:type="character" w:styleId="Refdecomentario">
    <w:name w:val="annotation reference"/>
    <w:basedOn w:val="Fuentedeprrafopredeter"/>
    <w:uiPriority w:val="99"/>
    <w:semiHidden/>
    <w:unhideWhenUsed/>
    <w:rsid w:val="008F5700"/>
    <w:rPr>
      <w:sz w:val="16"/>
      <w:szCs w:val="16"/>
    </w:rPr>
  </w:style>
  <w:style w:type="character" w:customStyle="1" w:styleId="PrrafodelistaCar">
    <w:name w:val="Párrafo de lista Car"/>
    <w:link w:val="Prrafodelista"/>
    <w:uiPriority w:val="1"/>
    <w:locked/>
    <w:rsid w:val="008F5700"/>
  </w:style>
  <w:style w:type="paragraph" w:styleId="NormalWeb">
    <w:name w:val="Normal (Web)"/>
    <w:basedOn w:val="Normal"/>
    <w:uiPriority w:val="99"/>
    <w:unhideWhenUsed/>
    <w:rsid w:val="008F5700"/>
    <w:pPr>
      <w:spacing w:before="100" w:beforeAutospacing="1" w:after="100" w:afterAutospacing="1" w:line="240" w:lineRule="auto"/>
    </w:pPr>
    <w:rPr>
      <w:rFonts w:ascii="Times New Roman" w:eastAsia="Times New Roman" w:hAnsi="Times New Roman" w:cs="Times New Roman"/>
      <w:sz w:val="24"/>
      <w:szCs w:val="24"/>
      <w:lang w:eastAsia="es-EC"/>
    </w:rPr>
  </w:style>
  <w:style w:type="paragraph" w:customStyle="1" w:styleId="Default">
    <w:name w:val="Default"/>
    <w:rsid w:val="008F57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12A9B-215B-42F4-986B-4CDA8CF7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941</Words>
  <Characters>5366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CobaF</dc:creator>
  <cp:lastModifiedBy>Lorena Rosas</cp:lastModifiedBy>
  <cp:revision>1</cp:revision>
  <dcterms:created xsi:type="dcterms:W3CDTF">2022-03-28T13:00:00Z</dcterms:created>
  <dcterms:modified xsi:type="dcterms:W3CDTF">2022-03-28T13:00:00Z</dcterms:modified>
</cp:coreProperties>
</file>